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widowControl/>
        <w:adjustRightInd w:val="0"/>
        <w:snapToGrid w:val="0"/>
        <w:spacing w:line="520" w:lineRule="exact"/>
        <w:textAlignment w:val="top"/>
        <w:rPr>
          <w:rFonts w:hint="default" w:ascii="仿宋_GB2312" w:hAnsi="仿宋_GB2312" w:eastAsia="仿宋_GB2312" w:cs="仿宋_GB2312"/>
          <w:b/>
          <w:bCs/>
          <w:sz w:val="32"/>
          <w:szCs w:val="32"/>
          <w:lang w:val="en-US" w:eastAsia="zh-CN"/>
        </w:rPr>
      </w:pPr>
      <w:r>
        <w:rPr>
          <w:rFonts w:hint="eastAsia" w:ascii="仿宋_GB2312" w:hAnsi="仿宋_GB2312" w:eastAsia="仿宋_GB2312" w:cs="仿宋_GB2312"/>
          <w:b/>
          <w:bCs/>
          <w:sz w:val="32"/>
          <w:szCs w:val="32"/>
          <w:lang w:eastAsia="zh-CN"/>
        </w:rPr>
        <w:t>附件</w:t>
      </w:r>
      <w:r>
        <w:rPr>
          <w:rFonts w:hint="eastAsia" w:ascii="仿宋_GB2312" w:hAnsi="仿宋_GB2312" w:eastAsia="仿宋_GB2312" w:cs="仿宋_GB2312"/>
          <w:b/>
          <w:bCs/>
          <w:sz w:val="32"/>
          <w:szCs w:val="32"/>
          <w:lang w:val="en-US" w:eastAsia="zh-CN"/>
        </w:rPr>
        <w:t>2</w:t>
      </w:r>
    </w:p>
    <w:p>
      <w:pPr>
        <w:widowControl/>
        <w:adjustRightInd w:val="0"/>
        <w:snapToGrid w:val="0"/>
        <w:spacing w:line="560" w:lineRule="atLeast"/>
        <w:jc w:val="center"/>
        <w:textAlignment w:val="top"/>
        <w:rPr>
          <w:rFonts w:ascii="华文中宋" w:hAnsi="华文中宋" w:eastAsia="华文中宋"/>
          <w:b/>
          <w:sz w:val="44"/>
          <w:szCs w:val="44"/>
        </w:rPr>
      </w:pPr>
      <w:r>
        <w:rPr>
          <w:rFonts w:hint="eastAsia" w:ascii="华文中宋" w:hAnsi="华文中宋" w:eastAsia="华文中宋"/>
          <w:b/>
          <w:sz w:val="44"/>
          <w:szCs w:val="44"/>
        </w:rPr>
        <w:t>规范廉洁执业承诺书</w:t>
      </w:r>
    </w:p>
    <w:p>
      <w:pPr>
        <w:widowControl/>
        <w:adjustRightInd w:val="0"/>
        <w:snapToGrid w:val="0"/>
        <w:spacing w:line="560" w:lineRule="atLeast"/>
        <w:textAlignment w:val="top"/>
        <w:rPr>
          <w:rFonts w:ascii="华文楷体" w:hAnsi="华文楷体" w:eastAsia="华文楷体"/>
          <w:sz w:val="32"/>
          <w:szCs w:val="32"/>
        </w:rPr>
      </w:pPr>
    </w:p>
    <w:p>
      <w:pPr>
        <w:widowControl/>
        <w:adjustRightInd w:val="0"/>
        <w:snapToGrid w:val="0"/>
        <w:spacing w:line="520" w:lineRule="exact"/>
        <w:ind w:firstLine="640" w:firstLineChars="200"/>
        <w:textAlignment w:val="top"/>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本机构自愿申请进入人民法院</w:t>
      </w:r>
      <w:r>
        <w:rPr>
          <w:rFonts w:hint="eastAsia" w:ascii="仿宋_GB2312" w:hAnsi="仿宋_GB2312" w:eastAsia="仿宋_GB2312" w:cs="仿宋_GB2312"/>
          <w:sz w:val="32"/>
          <w:szCs w:val="32"/>
          <w:lang w:eastAsia="zh-CN"/>
        </w:rPr>
        <w:t>“一张网”委托鉴定信息平台</w:t>
      </w:r>
      <w:r>
        <w:rPr>
          <w:rFonts w:hint="eastAsia" w:ascii="仿宋_GB2312" w:hAnsi="仿宋_GB2312" w:eastAsia="仿宋_GB2312" w:cs="仿宋_GB2312"/>
          <w:sz w:val="32"/>
          <w:szCs w:val="32"/>
        </w:rPr>
        <w:t>，接受人民法院委托开展业务，并作如下承诺：</w:t>
      </w:r>
    </w:p>
    <w:p>
      <w:pPr>
        <w:widowControl/>
        <w:adjustRightInd w:val="0"/>
        <w:snapToGrid w:val="0"/>
        <w:spacing w:line="520" w:lineRule="exact"/>
        <w:ind w:firstLine="640" w:firstLineChars="200"/>
        <w:textAlignment w:val="top"/>
        <w:rPr>
          <w:rFonts w:hint="eastAsia" w:ascii="仿宋_GB2312" w:hAnsi="仿宋_GB2312" w:eastAsia="仿宋_GB2312" w:cs="仿宋_GB2312"/>
          <w:kern w:val="0"/>
          <w:sz w:val="32"/>
          <w:szCs w:val="32"/>
        </w:rPr>
      </w:pPr>
      <w:r>
        <w:rPr>
          <w:rFonts w:hint="eastAsia" w:ascii="仿宋_GB2312" w:hAnsi="仿宋_GB2312" w:eastAsia="仿宋_GB2312" w:cs="仿宋_GB2312"/>
          <w:kern w:val="0"/>
          <w:sz w:val="32"/>
          <w:szCs w:val="32"/>
        </w:rPr>
        <w:t>一、遵守国家法律、法规、规章以及行业管理规定和技术规范执业，加强对本机构及专业人员执业活动的监督和管理；</w:t>
      </w:r>
    </w:p>
    <w:p>
      <w:pPr>
        <w:widowControl/>
        <w:adjustRightInd w:val="0"/>
        <w:snapToGrid w:val="0"/>
        <w:spacing w:line="520" w:lineRule="exact"/>
        <w:ind w:firstLine="640" w:firstLineChars="200"/>
        <w:textAlignment w:val="top"/>
        <w:rPr>
          <w:rFonts w:hint="eastAsia" w:ascii="仿宋_GB2312" w:hAnsi="仿宋_GB2312" w:eastAsia="仿宋_GB2312" w:cs="仿宋_GB2312"/>
          <w:kern w:val="0"/>
          <w:sz w:val="32"/>
          <w:szCs w:val="32"/>
        </w:rPr>
      </w:pPr>
      <w:r>
        <w:rPr>
          <w:rFonts w:hint="eastAsia" w:ascii="仿宋_GB2312" w:hAnsi="仿宋_GB2312" w:eastAsia="仿宋_GB2312" w:cs="仿宋_GB2312"/>
          <w:kern w:val="0"/>
          <w:sz w:val="32"/>
          <w:szCs w:val="32"/>
        </w:rPr>
        <w:t>二、遵循独立、客观、公正、科学和诚实信用的原则履行职责、规范执业，保证在执业活动中不徇私舞弊、弄虚作假、损害社会公共利益和他人合法权益；</w:t>
      </w:r>
    </w:p>
    <w:p>
      <w:pPr>
        <w:widowControl/>
        <w:adjustRightInd w:val="0"/>
        <w:snapToGrid w:val="0"/>
        <w:spacing w:line="520" w:lineRule="exact"/>
        <w:ind w:firstLine="640" w:firstLineChars="200"/>
        <w:textAlignment w:val="top"/>
        <w:rPr>
          <w:rFonts w:hint="eastAsia" w:ascii="仿宋_GB2312" w:hAnsi="仿宋_GB2312" w:eastAsia="仿宋_GB2312" w:cs="仿宋_GB2312"/>
          <w:kern w:val="0"/>
          <w:sz w:val="32"/>
          <w:szCs w:val="32"/>
        </w:rPr>
      </w:pPr>
      <w:r>
        <w:rPr>
          <w:rFonts w:hint="eastAsia" w:ascii="仿宋_GB2312" w:hAnsi="仿宋_GB2312" w:eastAsia="仿宋_GB2312" w:cs="仿宋_GB2312"/>
          <w:kern w:val="0"/>
          <w:sz w:val="32"/>
          <w:szCs w:val="32"/>
        </w:rPr>
        <w:t>三、在资质许可的执业范围内从事专业活动。受托事项超出执业范围的，及时向委托法院说明，保证不超范围执业或转委托；</w:t>
      </w:r>
    </w:p>
    <w:p>
      <w:pPr>
        <w:widowControl/>
        <w:adjustRightInd w:val="0"/>
        <w:snapToGrid w:val="0"/>
        <w:spacing w:line="520" w:lineRule="exact"/>
        <w:ind w:firstLine="640" w:firstLineChars="200"/>
        <w:textAlignment w:val="top"/>
        <w:rPr>
          <w:rFonts w:hint="eastAsia" w:ascii="仿宋_GB2312" w:hAnsi="仿宋_GB2312" w:eastAsia="仿宋_GB2312" w:cs="仿宋_GB2312"/>
          <w:kern w:val="0"/>
          <w:sz w:val="32"/>
          <w:szCs w:val="32"/>
        </w:rPr>
      </w:pPr>
      <w:r>
        <w:rPr>
          <w:rFonts w:hint="eastAsia" w:ascii="仿宋_GB2312" w:hAnsi="仿宋_GB2312" w:eastAsia="仿宋_GB2312" w:cs="仿宋_GB2312"/>
          <w:kern w:val="0"/>
          <w:sz w:val="32"/>
          <w:szCs w:val="32"/>
        </w:rPr>
        <w:t>四、遵守回避制度。遇有回避情形的，主动向委托法院申请回避；</w:t>
      </w:r>
    </w:p>
    <w:p>
      <w:pPr>
        <w:widowControl/>
        <w:adjustRightInd w:val="0"/>
        <w:snapToGrid w:val="0"/>
        <w:spacing w:line="520" w:lineRule="exact"/>
        <w:ind w:firstLine="640" w:firstLineChars="200"/>
        <w:textAlignment w:val="top"/>
        <w:rPr>
          <w:rFonts w:hint="eastAsia" w:ascii="仿宋_GB2312" w:hAnsi="仿宋_GB2312" w:eastAsia="仿宋_GB2312" w:cs="仿宋_GB2312"/>
          <w:kern w:val="0"/>
          <w:sz w:val="32"/>
          <w:szCs w:val="32"/>
        </w:rPr>
      </w:pPr>
      <w:r>
        <w:rPr>
          <w:rFonts w:hint="eastAsia" w:ascii="仿宋_GB2312" w:hAnsi="仿宋_GB2312" w:eastAsia="仿宋_GB2312" w:cs="仿宋_GB2312"/>
          <w:kern w:val="0"/>
          <w:sz w:val="32"/>
          <w:szCs w:val="32"/>
        </w:rPr>
        <w:t>五、严格按规定收取费用，保证不超标准收费。主动承担符合规定的司法援助项目，减免相关费用。按照《最高人民法院关于民事诉讼证据的若干规定》《最高人民法院关于人民法院民事诉讼中委托鉴定审查工作若干问题的规定》等相关规定应退还鉴定费用的，及时退还；</w:t>
      </w:r>
    </w:p>
    <w:p>
      <w:pPr>
        <w:widowControl/>
        <w:adjustRightInd w:val="0"/>
        <w:snapToGrid w:val="0"/>
        <w:spacing w:line="520" w:lineRule="exact"/>
        <w:ind w:firstLine="640" w:firstLineChars="200"/>
        <w:textAlignment w:val="top"/>
        <w:rPr>
          <w:rFonts w:hint="eastAsia" w:ascii="仿宋_GB2312" w:hAnsi="仿宋_GB2312" w:eastAsia="仿宋_GB2312" w:cs="仿宋_GB2312"/>
          <w:kern w:val="0"/>
          <w:sz w:val="32"/>
          <w:szCs w:val="32"/>
        </w:rPr>
      </w:pPr>
      <w:r>
        <w:rPr>
          <w:rFonts w:hint="eastAsia" w:ascii="仿宋_GB2312" w:hAnsi="仿宋_GB2312" w:eastAsia="仿宋_GB2312" w:cs="仿宋_GB2312"/>
          <w:kern w:val="0"/>
          <w:sz w:val="32"/>
          <w:szCs w:val="32"/>
        </w:rPr>
        <w:t>六、未经委托法院同意，不得私自会见案件当事人，不得私自接受当事人提供的材料；</w:t>
      </w:r>
    </w:p>
    <w:p>
      <w:pPr>
        <w:widowControl/>
        <w:adjustRightInd w:val="0"/>
        <w:snapToGrid w:val="0"/>
        <w:spacing w:line="520" w:lineRule="exact"/>
        <w:ind w:firstLine="640" w:firstLineChars="200"/>
        <w:textAlignment w:val="top"/>
        <w:rPr>
          <w:rFonts w:hint="eastAsia" w:ascii="仿宋_GB2312" w:hAnsi="仿宋_GB2312" w:eastAsia="仿宋_GB2312" w:cs="仿宋_GB2312"/>
          <w:kern w:val="0"/>
          <w:sz w:val="32"/>
          <w:szCs w:val="32"/>
        </w:rPr>
      </w:pPr>
      <w:r>
        <w:rPr>
          <w:rFonts w:hint="eastAsia" w:ascii="仿宋_GB2312" w:hAnsi="仿宋_GB2312" w:eastAsia="仿宋_GB2312" w:cs="仿宋_GB2312"/>
          <w:kern w:val="0"/>
          <w:sz w:val="32"/>
          <w:szCs w:val="32"/>
        </w:rPr>
        <w:t>七、遵守委托工作的期限要求，在规定的时限内完成受托工作，需要延长期限的，及时向委托法院提出申请并说明理由；</w:t>
      </w:r>
    </w:p>
    <w:p>
      <w:pPr>
        <w:widowControl/>
        <w:adjustRightInd w:val="0"/>
        <w:snapToGrid w:val="0"/>
        <w:spacing w:line="520" w:lineRule="exact"/>
        <w:ind w:firstLine="640" w:firstLineChars="200"/>
        <w:textAlignment w:val="top"/>
        <w:rPr>
          <w:rFonts w:hint="eastAsia" w:ascii="仿宋_GB2312" w:hAnsi="仿宋_GB2312" w:eastAsia="仿宋_GB2312" w:cs="仿宋_GB2312"/>
          <w:kern w:val="0"/>
          <w:sz w:val="32"/>
          <w:szCs w:val="32"/>
        </w:rPr>
      </w:pPr>
      <w:r>
        <w:rPr>
          <w:rFonts w:hint="eastAsia" w:ascii="仿宋_GB2312" w:hAnsi="仿宋_GB2312" w:eastAsia="仿宋_GB2312" w:cs="仿宋_GB2312"/>
          <w:kern w:val="0"/>
          <w:sz w:val="32"/>
          <w:szCs w:val="32"/>
        </w:rPr>
        <w:t>八、妥善保管相关材料，自觉保守在执业活动中知悉的国家机密、商业秘密、审判秘密和当事人隐私；</w:t>
      </w:r>
    </w:p>
    <w:p>
      <w:pPr>
        <w:widowControl/>
        <w:adjustRightInd w:val="0"/>
        <w:snapToGrid w:val="0"/>
        <w:spacing w:line="520" w:lineRule="exact"/>
        <w:ind w:firstLine="640" w:firstLineChars="200"/>
        <w:textAlignment w:val="top"/>
        <w:rPr>
          <w:rFonts w:hint="eastAsia" w:ascii="仿宋_GB2312" w:hAnsi="仿宋_GB2312" w:eastAsia="仿宋_GB2312" w:cs="仿宋_GB2312"/>
          <w:kern w:val="0"/>
          <w:sz w:val="32"/>
          <w:szCs w:val="32"/>
        </w:rPr>
      </w:pPr>
      <w:r>
        <w:rPr>
          <w:rFonts w:hint="eastAsia" w:ascii="仿宋_GB2312" w:hAnsi="仿宋_GB2312" w:eastAsia="仿宋_GB2312" w:cs="仿宋_GB2312"/>
          <w:kern w:val="0"/>
          <w:sz w:val="32"/>
          <w:szCs w:val="32"/>
        </w:rPr>
        <w:t>九、确保本机构鉴定人按规定履行出庭作证义务；</w:t>
      </w:r>
    </w:p>
    <w:p>
      <w:pPr>
        <w:widowControl/>
        <w:adjustRightInd w:val="0"/>
        <w:snapToGrid w:val="0"/>
        <w:spacing w:line="520" w:lineRule="exact"/>
        <w:ind w:firstLine="640" w:firstLineChars="200"/>
        <w:textAlignment w:val="top"/>
        <w:rPr>
          <w:rFonts w:hint="eastAsia" w:ascii="仿宋_GB2312" w:hAnsi="仿宋_GB2312" w:eastAsia="仿宋_GB2312" w:cs="仿宋_GB2312"/>
          <w:kern w:val="0"/>
          <w:sz w:val="32"/>
          <w:szCs w:val="32"/>
        </w:rPr>
      </w:pPr>
      <w:r>
        <w:rPr>
          <w:rFonts w:hint="eastAsia" w:ascii="仿宋_GB2312" w:hAnsi="仿宋_GB2312" w:eastAsia="仿宋_GB2312" w:cs="仿宋_GB2312"/>
          <w:kern w:val="0"/>
          <w:sz w:val="32"/>
          <w:szCs w:val="32"/>
        </w:rPr>
        <w:t>十、近两年来，未因违法违规执业受到行政主管部门或行业协会通报。执行信息报备制度，及时向人民法院报告行政主管部门或行业协会对本机构的处罚情况，及时更新机构和人员变更信息，确保上传信息准确真实。</w:t>
      </w:r>
    </w:p>
    <w:p>
      <w:pPr>
        <w:widowControl/>
        <w:adjustRightInd w:val="0"/>
        <w:snapToGrid w:val="0"/>
        <w:spacing w:line="520" w:lineRule="exact"/>
        <w:ind w:firstLine="640" w:firstLineChars="200"/>
        <w:textAlignment w:val="top"/>
        <w:rPr>
          <w:rFonts w:hint="eastAsia" w:ascii="仿宋_GB2312" w:hAnsi="仿宋_GB2312" w:eastAsia="仿宋_GB2312" w:cs="仿宋_GB2312"/>
          <w:kern w:val="0"/>
          <w:sz w:val="32"/>
          <w:szCs w:val="32"/>
        </w:rPr>
      </w:pPr>
      <w:r>
        <w:rPr>
          <w:rFonts w:hint="eastAsia" w:ascii="仿宋_GB2312" w:hAnsi="仿宋_GB2312" w:eastAsia="仿宋_GB2312" w:cs="仿宋_GB2312"/>
          <w:kern w:val="0"/>
          <w:sz w:val="32"/>
          <w:szCs w:val="32"/>
        </w:rPr>
        <w:t>十一、不得宣传机构自创未经有关部门认可的鉴定方法，不做超出业务范围或鉴定能力的虚假宣传和误导性陈述。</w:t>
      </w:r>
    </w:p>
    <w:p>
      <w:pPr>
        <w:widowControl/>
        <w:adjustRightInd w:val="0"/>
        <w:snapToGrid w:val="0"/>
        <w:spacing w:line="520" w:lineRule="exact"/>
        <w:ind w:firstLine="640" w:firstLineChars="200"/>
        <w:textAlignment w:val="top"/>
        <w:rPr>
          <w:rFonts w:hint="eastAsia" w:ascii="仿宋_GB2312" w:hAnsi="仿宋_GB2312" w:eastAsia="仿宋_GB2312" w:cs="仿宋_GB2312"/>
          <w:kern w:val="0"/>
          <w:sz w:val="32"/>
          <w:szCs w:val="32"/>
        </w:rPr>
      </w:pPr>
      <w:r>
        <w:rPr>
          <w:rFonts w:hint="eastAsia" w:ascii="仿宋_GB2312" w:hAnsi="仿宋_GB2312" w:eastAsia="仿宋_GB2312" w:cs="仿宋_GB2312"/>
          <w:kern w:val="0"/>
          <w:sz w:val="32"/>
          <w:szCs w:val="32"/>
        </w:rPr>
        <w:t>十二、本机构不存在以下情况：1.专业机构主要负责人因弄虚作假、违法违规被行政主管部门取消鉴定资质、纳入失信被执行人名单或因故意犯罪受到刑事处罚；2.停止委托的专业机构，或其主要负责人、控股股东、实际控制人重新注册的专业机构，自停止委托之日起五年内申请进入信息平台。</w:t>
      </w:r>
    </w:p>
    <w:p>
      <w:pPr>
        <w:widowControl/>
        <w:adjustRightInd w:val="0"/>
        <w:snapToGrid w:val="0"/>
        <w:spacing w:line="520" w:lineRule="exact"/>
        <w:ind w:firstLine="640" w:firstLineChars="200"/>
        <w:textAlignment w:val="top"/>
        <w:rPr>
          <w:rFonts w:hint="eastAsia" w:ascii="仿宋_GB2312" w:hAnsi="仿宋_GB2312" w:eastAsia="仿宋_GB2312" w:cs="仿宋_GB2312"/>
          <w:b/>
          <w:kern w:val="0"/>
          <w:sz w:val="32"/>
          <w:szCs w:val="32"/>
        </w:rPr>
      </w:pPr>
      <w:r>
        <w:rPr>
          <w:rFonts w:hint="eastAsia" w:ascii="仿宋_GB2312" w:hAnsi="仿宋_GB2312" w:eastAsia="仿宋_GB2312" w:cs="仿宋_GB2312"/>
          <w:kern w:val="0"/>
          <w:sz w:val="32"/>
          <w:szCs w:val="32"/>
        </w:rPr>
        <w:t>十三、接到法院委托通知后，如有以下情形将及时主动向委托法院说明情况：1.专业机构主要负责人、股东系委托法院工作人员近亲属；2.专业机构主要负责人、股东或专业人员系法院退休或离职不满两年人员，且其退休或离职的法院与委托法院在同一省辖市。</w:t>
      </w:r>
    </w:p>
    <w:p>
      <w:pPr>
        <w:widowControl/>
        <w:adjustRightInd w:val="0"/>
        <w:snapToGrid w:val="0"/>
        <w:spacing w:line="520" w:lineRule="exact"/>
        <w:ind w:firstLine="640" w:firstLineChars="200"/>
        <w:textAlignment w:val="top"/>
        <w:rPr>
          <w:rFonts w:ascii="仿宋" w:hAnsi="仿宋" w:eastAsia="仿宋"/>
          <w:sz w:val="32"/>
          <w:szCs w:val="32"/>
        </w:rPr>
      </w:pPr>
      <w:r>
        <w:rPr>
          <w:rFonts w:hint="eastAsia" w:ascii="仿宋_GB2312" w:hAnsi="仿宋_GB2312" w:eastAsia="仿宋_GB2312" w:cs="仿宋_GB2312"/>
          <w:kern w:val="0"/>
          <w:sz w:val="32"/>
          <w:szCs w:val="32"/>
        </w:rPr>
        <w:t>十四、若违反以上承诺，自愿接受人民法院依据《河南省高级人民法院“一张网”委托鉴定信息平台使用管理办法（试行）》作出的</w:t>
      </w:r>
      <w:r>
        <w:rPr>
          <w:rFonts w:hint="eastAsia" w:ascii="仿宋_GB2312" w:hAnsi="仿宋_GB2312" w:eastAsia="仿宋_GB2312" w:cs="仿宋_GB2312"/>
          <w:kern w:val="0"/>
          <w:sz w:val="32"/>
          <w:szCs w:val="32"/>
          <w:lang w:eastAsia="zh-CN"/>
        </w:rPr>
        <w:t>警告、暂停、禁业</w:t>
      </w:r>
      <w:r>
        <w:rPr>
          <w:rFonts w:hint="eastAsia" w:ascii="仿宋_GB2312" w:hAnsi="仿宋_GB2312" w:eastAsia="仿宋_GB2312" w:cs="仿宋_GB2312"/>
          <w:kern w:val="0"/>
          <w:sz w:val="32"/>
          <w:szCs w:val="32"/>
        </w:rPr>
        <w:t>处理。</w:t>
      </w:r>
    </w:p>
    <w:p>
      <w:pPr>
        <w:rPr>
          <w:rFonts w:hint="eastAsia"/>
        </w:rPr>
      </w:pPr>
    </w:p>
    <w:p>
      <w:r>
        <w:rPr>
          <w:rFonts w:hint="eastAsia"/>
        </w:rPr>
        <w:t xml:space="preserve">  </w:t>
      </w:r>
    </w:p>
    <w:p>
      <w:pPr>
        <w:ind w:firstLine="6560" w:firstLineChars="2050"/>
        <w:rPr>
          <w:rFonts w:ascii="仿宋" w:hAnsi="仿宋" w:eastAsia="仿宋"/>
          <w:sz w:val="32"/>
          <w:szCs w:val="32"/>
        </w:rPr>
      </w:pPr>
      <w:bookmarkStart w:id="0" w:name="_GoBack"/>
      <w:bookmarkEnd w:id="0"/>
      <w:r>
        <w:rPr>
          <w:rFonts w:hint="eastAsia" w:ascii="仿宋" w:hAnsi="仿宋" w:eastAsia="仿宋"/>
          <w:sz w:val="32"/>
          <w:szCs w:val="32"/>
        </w:rPr>
        <w:t>年</w:t>
      </w:r>
      <w:r>
        <w:rPr>
          <w:rFonts w:hint="eastAsia" w:ascii="仿宋" w:hAnsi="仿宋" w:eastAsia="仿宋"/>
          <w:sz w:val="32"/>
          <w:szCs w:val="32"/>
          <w:lang w:val="en-US" w:eastAsia="zh-CN"/>
        </w:rPr>
        <w:t xml:space="preserve"> </w:t>
      </w:r>
      <w:r>
        <w:rPr>
          <w:rFonts w:hint="eastAsia" w:ascii="仿宋" w:hAnsi="仿宋" w:eastAsia="仿宋"/>
          <w:sz w:val="32"/>
          <w:szCs w:val="32"/>
        </w:rPr>
        <w:t>月</w:t>
      </w:r>
      <w:r>
        <w:rPr>
          <w:rFonts w:hint="eastAsia" w:ascii="仿宋" w:hAnsi="仿宋" w:eastAsia="仿宋"/>
          <w:sz w:val="32"/>
          <w:szCs w:val="32"/>
          <w:lang w:val="en-US" w:eastAsia="zh-CN"/>
        </w:rPr>
        <w:t xml:space="preserve"> </w:t>
      </w:r>
      <w:r>
        <w:rPr>
          <w:rFonts w:hint="eastAsia" w:ascii="仿宋" w:hAnsi="仿宋" w:eastAsia="仿宋"/>
          <w:sz w:val="32"/>
          <w:szCs w:val="32"/>
        </w:rPr>
        <w:t>日</w:t>
      </w:r>
    </w:p>
    <w:sectPr>
      <w:footerReference r:id="rId3" w:type="default"/>
      <w:footerReference r:id="rId4" w:type="even"/>
      <w:pgSz w:w="11906" w:h="16838"/>
      <w:pgMar w:top="2098" w:right="1474" w:bottom="1985" w:left="1474" w:header="851" w:footer="1588" w:gutter="0"/>
      <w:pgNumType w:fmt="numberInDash"/>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altName w:val="方正书宋_GBK"/>
    <w:panose1 w:val="00000000000000000000"/>
    <w:charset w:val="00"/>
    <w:family w:val="auto"/>
    <w:pitch w:val="default"/>
    <w:sig w:usb0="00000000" w:usb1="00000000" w:usb2="00000000" w:usb3="00000000" w:csb0="00000000" w:csb1="00000000"/>
  </w:font>
  <w:font w:name="Wingdings">
    <w:panose1 w:val="05000000000000000000"/>
    <w:charset w:val="02"/>
    <w:family w:val="auto"/>
    <w:pitch w:val="default"/>
    <w:sig w:usb0="00000000" w:usb1="00000000" w:usb2="00000000" w:usb3="00000000" w:csb0="80000000" w:csb1="00000000"/>
  </w:font>
  <w:font w:name="Arial">
    <w:altName w:val="DejaVu Sans"/>
    <w:panose1 w:val="020B0604020202020204"/>
    <w:charset w:val="01"/>
    <w:family w:val="swiss"/>
    <w:pitch w:val="default"/>
    <w:sig w:usb0="E0002AFF" w:usb1="C0007843" w:usb2="00000009" w:usb3="00000000" w:csb0="400001FF" w:csb1="FFFF0000"/>
  </w:font>
  <w:font w:name="黑体">
    <w:altName w:val="方正黑体_GBK"/>
    <w:panose1 w:val="02010609060101010101"/>
    <w:charset w:val="86"/>
    <w:family w:val="auto"/>
    <w:pitch w:val="default"/>
    <w:sig w:usb0="800002BF" w:usb1="38CF7CFA" w:usb2="00000016" w:usb3="00000000" w:csb0="00040001" w:csb1="00000000"/>
  </w:font>
  <w:font w:name="Courier New">
    <w:altName w:val="DejaVu Sans"/>
    <w:panose1 w:val="02070309020205020404"/>
    <w:charset w:val="01"/>
    <w:family w:val="modern"/>
    <w:pitch w:val="default"/>
    <w:sig w:usb0="E0002AFF" w:usb1="C0007843" w:usb2="00000009" w:usb3="00000000" w:csb0="400001FF" w:csb1="FFFF0000"/>
  </w:font>
  <w:font w:name="Symbol">
    <w:panose1 w:val="02000609000000000000"/>
    <w:charset w:val="02"/>
    <w:family w:val="roman"/>
    <w:pitch w:val="default"/>
    <w:sig w:usb0="800000AF" w:usb1="4000204A" w:usb2="00000000" w:usb3="00000000" w:csb0="20000000" w:csb1="00000000"/>
  </w:font>
  <w:font w:name="Calibri">
    <w:altName w:val="DejaVu Sans"/>
    <w:panose1 w:val="020F0502020204030204"/>
    <w:charset w:val="00"/>
    <w:family w:val="swiss"/>
    <w:pitch w:val="default"/>
    <w:sig w:usb0="00000000" w:usb1="00000000" w:usb2="00000001" w:usb3="00000000" w:csb0="0000019F" w:csb1="00000000"/>
  </w:font>
  <w:font w:name="华文中宋">
    <w:altName w:val="汉仪中宋简"/>
    <w:panose1 w:val="02010600040101010101"/>
    <w:charset w:val="86"/>
    <w:family w:val="auto"/>
    <w:pitch w:val="default"/>
    <w:sig w:usb0="00000000" w:usb1="00000000" w:usb2="00000010" w:usb3="00000000" w:csb0="0004009F" w:csb1="00000000"/>
  </w:font>
  <w:font w:name="华文楷体">
    <w:altName w:val="方正楷体_GBK"/>
    <w:panose1 w:val="02010600040101010101"/>
    <w:charset w:val="86"/>
    <w:family w:val="auto"/>
    <w:pitch w:val="default"/>
    <w:sig w:usb0="00000000" w:usb1="00000000" w:usb2="00000010" w:usb3="00000000" w:csb0="0004009F" w:csb1="00000000"/>
  </w:font>
  <w:font w:name="仿宋">
    <w:altName w:val="方正仿宋_GBK"/>
    <w:panose1 w:val="02010609060101010101"/>
    <w:charset w:val="86"/>
    <w:family w:val="modern"/>
    <w:pitch w:val="default"/>
    <w:sig w:usb0="00000000" w:usb1="00000000" w:usb2="00000016" w:usb3="00000000" w:csb0="00040001" w:csb1="00000000"/>
  </w:font>
  <w:font w:name="方正书宋_GBK">
    <w:panose1 w:val="02000000000000000000"/>
    <w:charset w:val="86"/>
    <w:family w:val="auto"/>
    <w:pitch w:val="default"/>
    <w:sig w:usb0="00000001" w:usb1="08000000" w:usb2="00000000" w:usb3="00000000" w:csb0="00040000" w:csb1="00000000"/>
  </w:font>
  <w:font w:name="汉仪中宋简">
    <w:panose1 w:val="02010600000101010101"/>
    <w:charset w:val="86"/>
    <w:family w:val="auto"/>
    <w:pitch w:val="default"/>
    <w:sig w:usb0="00000001" w:usb1="080E0800" w:usb2="00000002" w:usb3="00000000" w:csb0="00040000" w:csb1="00000000"/>
  </w:font>
  <w:font w:name="DejaVu Sans">
    <w:panose1 w:val="020B0603030804020204"/>
    <w:charset w:val="00"/>
    <w:family w:val="auto"/>
    <w:pitch w:val="default"/>
    <w:sig w:usb0="E7006EFF" w:usb1="D200FDFF" w:usb2="0A246029" w:usb3="0400200C" w:csb0="600001FF" w:csb1="DFFF0000"/>
  </w:font>
  <w:font w:name="方正楷体_GBK">
    <w:panose1 w:val="02000000000000000000"/>
    <w:charset w:val="86"/>
    <w:family w:val="auto"/>
    <w:pitch w:val="default"/>
    <w:sig w:usb0="00000001" w:usb1="08000000" w:usb2="00000000" w:usb3="00000000" w:csb0="00040000" w:csb1="00000000"/>
  </w:font>
  <w:font w:name="方正仿宋_GBK">
    <w:panose1 w:val="02000000000000000000"/>
    <w:charset w:val="86"/>
    <w:family w:val="auto"/>
    <w:pitch w:val="default"/>
    <w:sig w:usb0="00000001" w:usb1="08000000" w:usb2="00000000" w:usb3="00000000" w:csb0="00040000" w:csb1="00000000"/>
  </w:font>
  <w:font w:name="方正黑体_GBK">
    <w:panose1 w:val="02000000000000000000"/>
    <w:charset w:val="86"/>
    <w:family w:val="auto"/>
    <w:pitch w:val="default"/>
    <w:sig w:usb0="00000001" w:usb1="08000000" w:usb2="00000000" w:usb3="00000000" w:csb0="00040000" w:csb1="00000000"/>
  </w:font>
  <w:font w:name="仿宋_GB2312">
    <w:panose1 w:val="02010609030101010101"/>
    <w:charset w:val="86"/>
    <w:family w:val="auto"/>
    <w:pitch w:val="default"/>
    <w:sig w:usb0="00000001" w:usb1="080E0000" w:usb2="00000000" w:usb3="00000000" w:csb0="0004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2"/>
      <w:ind w:right="180"/>
      <w:jc w:val="right"/>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2"/>
      <w:rPr>
        <w:rFonts w:ascii="Times New Roman" w:hAnsi="Times New Roman"/>
        <w:sz w:val="32"/>
        <w:szCs w:val="32"/>
      </w:rPr>
    </w:pPr>
    <w:r>
      <w:rPr>
        <w:rFonts w:hint="eastAsia"/>
      </w:rPr>
      <w:t xml:space="preserve"> </w:t>
    </w:r>
    <w:r>
      <w:rPr>
        <w:rFonts w:ascii="Times New Roman" w:hAnsi="Times New Roman"/>
        <w:sz w:val="32"/>
        <w:szCs w:val="32"/>
      </w:rPr>
      <w:fldChar w:fldCharType="begin"/>
    </w:r>
    <w:r>
      <w:rPr>
        <w:rFonts w:ascii="Times New Roman" w:hAnsi="Times New Roman"/>
        <w:sz w:val="32"/>
        <w:szCs w:val="32"/>
      </w:rPr>
      <w:instrText xml:space="preserve">PAGE   \* MERGEFORMAT</w:instrText>
    </w:r>
    <w:r>
      <w:rPr>
        <w:rFonts w:ascii="Times New Roman" w:hAnsi="Times New Roman"/>
        <w:sz w:val="32"/>
        <w:szCs w:val="32"/>
      </w:rPr>
      <w:fldChar w:fldCharType="separate"/>
    </w:r>
    <w:r>
      <w:rPr>
        <w:rFonts w:ascii="Times New Roman" w:hAnsi="Times New Roman"/>
        <w:sz w:val="32"/>
        <w:szCs w:val="32"/>
        <w:lang w:val="zh-CN"/>
      </w:rPr>
      <w:t>-</w:t>
    </w:r>
    <w:r>
      <w:rPr>
        <w:rFonts w:ascii="Times New Roman" w:hAnsi="Times New Roman"/>
        <w:sz w:val="32"/>
        <w:szCs w:val="32"/>
      </w:rPr>
      <w:t xml:space="preserve"> 14 -</w:t>
    </w:r>
    <w:r>
      <w:rPr>
        <w:rFonts w:ascii="Times New Roman" w:hAnsi="Times New Roman"/>
        <w:sz w:val="32"/>
        <w:szCs w:val="32"/>
      </w:rPr>
      <w:fldChar w:fldCharType="end"/>
    </w: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89"/>
  <w:bordersDoNotSurroundHeader w:val="true"/>
  <w:bordersDoNotSurroundFooter w:val="true"/>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2"/>
  </w:compat>
  <w:rsids>
    <w:rsidRoot w:val="004C60C1"/>
    <w:rsid w:val="004C60C1"/>
    <w:rsid w:val="00D21361"/>
    <w:rsid w:val="00E07F53"/>
    <w:rsid w:val="33E6DD85"/>
    <w:rsid w:val="7BFE4CB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99"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2"/>
      <w:lang w:val="en-US" w:eastAsia="zh-CN" w:bidi="ar-SA"/>
    </w:rPr>
  </w:style>
  <w:style w:type="character" w:default="1" w:styleId="5">
    <w:name w:val="Default Paragraph Font"/>
    <w:semiHidden/>
    <w:unhideWhenUsed/>
    <w:qFormat/>
    <w:uiPriority w:val="1"/>
  </w:style>
  <w:style w:type="table" w:default="1" w:styleId="4">
    <w:name w:val="Normal Table"/>
    <w:semiHidden/>
    <w:unhideWhenUsed/>
    <w:qFormat/>
    <w:uiPriority w:val="99"/>
    <w:tblPr>
      <w:tblCellMar>
        <w:top w:w="0" w:type="dxa"/>
        <w:left w:w="108" w:type="dxa"/>
        <w:bottom w:w="0" w:type="dxa"/>
        <w:right w:w="108" w:type="dxa"/>
      </w:tblCellMar>
    </w:tblPr>
  </w:style>
  <w:style w:type="paragraph" w:styleId="2">
    <w:name w:val="footer"/>
    <w:basedOn w:val="1"/>
    <w:link w:val="7"/>
    <w:unhideWhenUsed/>
    <w:qFormat/>
    <w:uiPriority w:val="99"/>
    <w:pPr>
      <w:tabs>
        <w:tab w:val="center" w:pos="4153"/>
        <w:tab w:val="right" w:pos="8306"/>
      </w:tabs>
      <w:snapToGrid w:val="0"/>
      <w:jc w:val="left"/>
    </w:pPr>
    <w:rPr>
      <w:sz w:val="18"/>
      <w:szCs w:val="18"/>
    </w:rPr>
  </w:style>
  <w:style w:type="paragraph" w:styleId="3">
    <w:name w:val="header"/>
    <w:basedOn w:val="1"/>
    <w:link w:val="6"/>
    <w:semiHidden/>
    <w:unhideWhenUsed/>
    <w:qFormat/>
    <w:uiPriority w:val="99"/>
    <w:pPr>
      <w:pBdr>
        <w:bottom w:val="single" w:color="auto" w:sz="6" w:space="1"/>
      </w:pBdr>
      <w:tabs>
        <w:tab w:val="center" w:pos="4153"/>
        <w:tab w:val="right" w:pos="8306"/>
      </w:tabs>
      <w:snapToGrid w:val="0"/>
      <w:jc w:val="center"/>
    </w:pPr>
    <w:rPr>
      <w:sz w:val="18"/>
      <w:szCs w:val="18"/>
    </w:rPr>
  </w:style>
  <w:style w:type="character" w:customStyle="1" w:styleId="6">
    <w:name w:val="页眉 Char"/>
    <w:basedOn w:val="5"/>
    <w:link w:val="3"/>
    <w:semiHidden/>
    <w:qFormat/>
    <w:uiPriority w:val="99"/>
    <w:rPr>
      <w:sz w:val="18"/>
      <w:szCs w:val="18"/>
    </w:rPr>
  </w:style>
  <w:style w:type="character" w:customStyle="1" w:styleId="7">
    <w:name w:val="页脚 Char"/>
    <w:basedOn w:val="5"/>
    <w:link w:val="2"/>
    <w:qFormat/>
    <w:uiPriority w:val="99"/>
    <w:rPr>
      <w:sz w:val="18"/>
      <w:szCs w:val="18"/>
    </w:r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customXml" Target="../customXml/item1.xml"/><Relationship Id="rId5" Type="http://schemas.openxmlformats.org/officeDocument/2006/relationships/theme" Target="theme/theme1.xml"/><Relationship Id="rId4" Type="http://schemas.openxmlformats.org/officeDocument/2006/relationships/footer" Target="footer2.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true">
          <a:gsLst>
            <a:gs pos="0">
              <a:schemeClr val="phClr">
                <a:tint val="50000"/>
                <a:satMod val="300000"/>
              </a:schemeClr>
            </a:gs>
            <a:gs pos="35000">
              <a:schemeClr val="phClr">
                <a:tint val="37000"/>
                <a:satMod val="300000"/>
              </a:schemeClr>
            </a:gs>
            <a:gs pos="100000">
              <a:schemeClr val="phClr">
                <a:tint val="15000"/>
                <a:satMod val="350000"/>
              </a:schemeClr>
            </a:gs>
          </a:gsLst>
          <a:lin ang="16200000" scaled="true"/>
        </a:gradFill>
        <a:gradFill rotWithShape="true">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false"/>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true">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true">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Company>微软中国</Company>
  <Pages>2</Pages>
  <Words>155</Words>
  <Characters>884</Characters>
  <Lines>7</Lines>
  <Paragraphs>2</Paragraphs>
  <TotalTime>3</TotalTime>
  <ScaleCrop>false</ScaleCrop>
  <LinksUpToDate>false</LinksUpToDate>
  <CharactersWithSpaces>1037</CharactersWithSpaces>
  <Application>WPS Office_11.8.2.10125_F1E327BC-269C-435d-A152-05C5408002CA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2021-06-03T17:36:00Z</dcterms:created>
  <dc:creator>微软用户</dc:creator>
  <cp:lastModifiedBy>叶晨路</cp:lastModifiedBy>
  <dcterms:modified xsi:type="dcterms:W3CDTF">2026-09-16T15:42:14Z</dcterms:modified>
  <cp:revision>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2052-11.8.2.10125</vt:lpwstr>
  </property>
</Properties>
</file>